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spacing w:line="600" w:lineRule="exact"/>
        <w:jc w:val="both"/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附件3</w:t>
      </w:r>
    </w:p>
    <w:tbl>
      <w:tblPr>
        <w:tblStyle w:val="4"/>
        <w:tblpPr w:leftFromText="180" w:rightFromText="180" w:vertAnchor="text" w:horzAnchor="page" w:tblpX="1441" w:tblpY="1061"/>
        <w:tblOverlap w:val="never"/>
        <w:tblW w:w="90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3"/>
        <w:gridCol w:w="2734"/>
        <w:gridCol w:w="58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上报资料是否符合申报条件</w:t>
            </w:r>
          </w:p>
        </w:tc>
        <w:tc>
          <w:tcPr>
            <w:tcW w:w="5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申请文件如果不符合申报条件，评委将不再给该培训机构打分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4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培训方案分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60分</w:t>
            </w:r>
          </w:p>
        </w:tc>
        <w:tc>
          <w:tcPr>
            <w:tcW w:w="27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招生计划及生源保障措施（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5分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5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招生计划详实、承训专业类别衔接好、生源保障措施具体得力得5分，招生计划空洞、承训专业类别衔接不好、生源保障措施操作性差得1分，介于两者中间得3分。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7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学员就业保障措施（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15分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5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有相对稳定的就业信息和渠道，就业指导得力，就业岗位针对性强，学员就业率达80%以上得15分，学员就业率达60%-80%的得10分，学员就业率达60%以下的得5分。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7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师资条件（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10分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5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拥有中级专业技术职称（或相当于中级专业技术职称）的教师比例达20%得10分，比例达10%-20%得6分，低于10%得3分。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7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培训总体方案（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8分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5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培训总体方案详实、具体、操作性强得8分，培训总体方案空洞、操作性差得3分，介于两者中间得6分。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7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授课环境条件（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8分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5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授课环境中教学场所达到300平米以上、有良好的通风照明条件、教学配套设施齐全的得8分，教学场所在200平米到300平米之间、有良好的通风照明条件、教学配套设施齐全的得6分，教学场所在200平米以下、通风照明条件一般、教学配套设施不齐全得3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7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  <w:t>课程设置（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7分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5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课程设置中培训教材标准范且符合国家职业标准、培训专业紧贴市场实际需求且便于就业得7分，培训教材标准不规范、但培训专业紧贴市场实际需求且便于就业得5分，培训教标准不规范、培训专业没有紧贴市场实际需求得3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7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  <w:t>课时安排（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7分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5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培训课时能够满足邯人社字〔2020〕33号具体要求得7分，培训课时不满足要求得3分。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培训机构资质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40分</w:t>
            </w:r>
          </w:p>
        </w:tc>
        <w:tc>
          <w:tcPr>
            <w:tcW w:w="27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  <w:t>专职教师（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10分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5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专职教师占教师总数的25％以上得10分，专职教师占教师总数的10％-25％得6分，专职教师占教师总数的10％以下得3分。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7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教学设备设施（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10分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5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具有满足教学和技能训练需要的教学、实习、实验设施和设备且有充足实习工位得10分，具有满足教学和技能训练需要的教学、实习、实验设施和设备但没有充足实习工位得7分，没有能够满足教学和技能训练需要的教学、实习、实验设施和设备且没有充足实习工位得3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7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财务管理方面</w:t>
            </w:r>
            <w:r>
              <w:rPr>
                <w:rFonts w:hint="eastAsia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（5分）</w:t>
            </w:r>
          </w:p>
        </w:tc>
        <w:tc>
          <w:tcPr>
            <w:tcW w:w="5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有规范的财务制度和财务核算体系（提供财务制度</w:t>
            </w:r>
            <w:r>
              <w:rPr>
                <w:rFonts w:hint="eastAsia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和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2020年12月份财务报表、总账余额表等</w:t>
            </w:r>
            <w:r>
              <w:rPr>
                <w:rFonts w:hint="eastAsia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7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培训机构业绩、信誉（</w:t>
            </w:r>
            <w:r>
              <w:rPr>
                <w:rFonts w:hint="eastAsia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分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5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培训机构近三年内培训学员就业率高、社会反响程度好且无学员投诉得</w:t>
            </w:r>
            <w:r>
              <w:rPr>
                <w:rFonts w:hint="eastAsia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分，培训机构近三年内培训学员就业率高、无学员投诉、但社会反响程度一般得</w:t>
            </w:r>
            <w:r>
              <w:rPr>
                <w:rFonts w:hint="eastAsia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分，培训机构近三年内培训学员就业率低、有学员投诉得3分。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7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培训场所（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5分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5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培训场所具有与办学规模及将训专业相适应的培训场所得5分，不具有与办学规模及培训专业相适应的培训场所得2分。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4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7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其它承诺的优惠条件（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5分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58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承诺的优惠条件多并且切实可行得5分，承诺的优惠条件少但切实可行得3分，没有承诺优惠条件得0分。</w:t>
            </w:r>
          </w:p>
        </w:tc>
      </w:tr>
    </w:tbl>
    <w:p>
      <w:pPr>
        <w:widowControl w:val="0"/>
        <w:numPr>
          <w:ilvl w:val="0"/>
          <w:numId w:val="0"/>
        </w:numPr>
        <w:spacing w:line="600" w:lineRule="exact"/>
        <w:jc w:val="center"/>
        <w:rPr>
          <w:rFonts w:hint="default" w:ascii="Times New Roman" w:hAnsi="Times New Roman" w:eastAsia="宋体" w:cs="Times New Roman"/>
          <w:b/>
          <w:bCs/>
          <w:sz w:val="36"/>
          <w:szCs w:val="36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36"/>
          <w:szCs w:val="36"/>
          <w:lang w:val="en-US" w:eastAsia="zh-CN"/>
        </w:rPr>
        <w:t>综合评估表（标准分100分）</w:t>
      </w:r>
    </w:p>
    <w:p>
      <w:bookmarkStart w:id="0" w:name="_GoBack"/>
      <w:bookmarkEnd w:id="0"/>
    </w:p>
    <w:sectPr>
      <w:footerReference r:id="rId3" w:type="default"/>
      <w:pgSz w:w="11906" w:h="16838"/>
      <w:pgMar w:top="1984" w:right="1701" w:bottom="1417" w:left="170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rFonts w:ascii="宋体" w:hAnsi="宋体" w:eastAsia="宋体" w:cs="Times New Roman"/>
        <w:sz w:val="28"/>
        <w:szCs w:val="28"/>
      </w:rPr>
    </w:pPr>
    <w:r>
      <w:rPr>
        <w:rStyle w:val="6"/>
        <w:rFonts w:ascii="宋体" w:hAnsi="宋体" w:eastAsia="宋体" w:cs="Times New Roman"/>
        <w:sz w:val="28"/>
        <w:szCs w:val="28"/>
      </w:rPr>
      <w:fldChar w:fldCharType="begin"/>
    </w:r>
    <w:r>
      <w:rPr>
        <w:rStyle w:val="6"/>
        <w:rFonts w:ascii="宋体" w:hAnsi="宋体" w:eastAsia="宋体" w:cs="Times New Roman"/>
        <w:sz w:val="28"/>
        <w:szCs w:val="28"/>
      </w:rPr>
      <w:instrText xml:space="preserve">PAGE  </w:instrText>
    </w:r>
    <w:r>
      <w:rPr>
        <w:rStyle w:val="6"/>
        <w:rFonts w:ascii="宋体" w:hAnsi="宋体" w:eastAsia="宋体" w:cs="Times New Roman"/>
        <w:sz w:val="28"/>
        <w:szCs w:val="28"/>
      </w:rPr>
      <w:fldChar w:fldCharType="separate"/>
    </w:r>
    <w:r>
      <w:rPr>
        <w:rStyle w:val="6"/>
        <w:rFonts w:ascii="宋体" w:hAnsi="宋体" w:eastAsia="宋体" w:cs="Times New Roman"/>
        <w:sz w:val="28"/>
        <w:szCs w:val="28"/>
      </w:rPr>
      <w:t>- 1 -</w:t>
    </w:r>
    <w:r>
      <w:rPr>
        <w:rStyle w:val="6"/>
        <w:rFonts w:ascii="宋体" w:hAnsi="宋体" w:eastAsia="宋体" w:cs="Times New Roman"/>
        <w:sz w:val="28"/>
        <w:szCs w:val="28"/>
      </w:rPr>
      <w:fldChar w:fldCharType="end"/>
    </w:r>
  </w:p>
  <w:p>
    <w:pPr>
      <w:pStyle w:val="2"/>
      <w:rPr>
        <w:rFonts w:ascii="Times New Roman" w:hAnsi="Times New Roman" w:eastAsia="宋体"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E643E6"/>
    <w:rsid w:val="67E64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lang w:val="en-US" w:eastAsia="zh-CN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2021-05-11T03:27:00Z</dcterms:created>
  <dc:creator>Administrator</dc:creator>
  <cp:lastModifiedBy>Administrator</cp:lastModifiedBy>
  <dcterms:modified xsi:type="dcterms:W3CDTF">2021-05-11T03:29:53Z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474CCD72F4B5443587186E50AF510C6C</vt:lpwstr>
  </property>
</Properties>
</file>